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EB1E" w14:textId="77777777" w:rsidR="00BA33EF" w:rsidRDefault="00BA33E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1"/>
        <w:tblW w:w="8712" w:type="dxa"/>
        <w:tblInd w:w="144" w:type="dxa"/>
        <w:tblLayout w:type="fixed"/>
        <w:tblLook w:val="0000" w:firstRow="0" w:lastRow="0" w:firstColumn="0" w:lastColumn="0" w:noHBand="0" w:noVBand="0"/>
      </w:tblPr>
      <w:tblGrid>
        <w:gridCol w:w="8712"/>
      </w:tblGrid>
      <w:tr w:rsidR="00BA33EF" w14:paraId="2B1BEE57" w14:textId="77777777">
        <w:tc>
          <w:tcPr>
            <w:tcW w:w="8712" w:type="dxa"/>
            <w:tcBorders>
              <w:top w:val="single" w:sz="6" w:space="0" w:color="000000"/>
              <w:left w:val="single" w:sz="6" w:space="0" w:color="000000"/>
              <w:bottom w:val="single" w:sz="6" w:space="0" w:color="000000"/>
              <w:right w:val="single" w:sz="6" w:space="0" w:color="000000"/>
            </w:tcBorders>
          </w:tcPr>
          <w:p w14:paraId="4241C4A0" w14:textId="77777777" w:rsidR="00BA33EF" w:rsidRDefault="00B40AA0">
            <w:pPr>
              <w:pBdr>
                <w:top w:val="nil"/>
                <w:left w:val="nil"/>
                <w:bottom w:val="nil"/>
                <w:right w:val="nil"/>
                <w:between w:val="nil"/>
              </w:pBdr>
              <w:spacing w:line="360" w:lineRule="auto"/>
              <w:jc w:val="both"/>
              <w:rPr>
                <w:rFonts w:ascii="Arial" w:eastAsia="Arial" w:hAnsi="Arial" w:cs="Arial"/>
                <w:b/>
                <w:smallCaps/>
                <w:color w:val="000000"/>
                <w:sz w:val="18"/>
                <w:szCs w:val="18"/>
              </w:rPr>
            </w:pPr>
            <w:bookmarkStart w:id="0" w:name="_heading=h.gjdgxs" w:colFirst="0" w:colLast="0"/>
            <w:bookmarkEnd w:id="0"/>
            <w:r>
              <w:rPr>
                <w:rFonts w:ascii="Arial" w:eastAsia="Arial" w:hAnsi="Arial" w:cs="Arial"/>
                <w:b/>
                <w:smallCaps/>
                <w:color w:val="000000"/>
                <w:sz w:val="18"/>
                <w:szCs w:val="18"/>
              </w:rPr>
              <w:t xml:space="preserve">NOMBRE DE LA ASIGNATURA O UNIDAD DE APRENDIZAJE. </w:t>
            </w:r>
          </w:p>
          <w:p w14:paraId="70210916" w14:textId="77777777" w:rsidR="00BA33EF" w:rsidRDefault="00BA33EF">
            <w:pPr>
              <w:pBdr>
                <w:top w:val="nil"/>
                <w:left w:val="nil"/>
                <w:bottom w:val="nil"/>
                <w:right w:val="nil"/>
                <w:between w:val="nil"/>
              </w:pBdr>
              <w:spacing w:line="360" w:lineRule="auto"/>
              <w:jc w:val="both"/>
              <w:rPr>
                <w:rFonts w:ascii="Arial" w:eastAsia="Arial" w:hAnsi="Arial" w:cs="Arial"/>
                <w:smallCaps/>
                <w:color w:val="000000"/>
                <w:sz w:val="18"/>
                <w:szCs w:val="18"/>
              </w:rPr>
            </w:pPr>
          </w:p>
          <w:p w14:paraId="3E667E76" w14:textId="77777777" w:rsidR="00BA33EF" w:rsidRDefault="00B40AA0">
            <w:pPr>
              <w:pBdr>
                <w:top w:val="nil"/>
                <w:left w:val="nil"/>
                <w:bottom w:val="nil"/>
                <w:right w:val="nil"/>
                <w:between w:val="nil"/>
              </w:pBdr>
              <w:spacing w:line="36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ASIGNATURA DE ESPECIALIDAD II – LGAC DE BIOTECNOLOGÍA E INGENIERÍA AMBIENTAL</w:t>
            </w:r>
          </w:p>
          <w:p w14:paraId="7D0E5D3D" w14:textId="77777777" w:rsidR="00BA33EF" w:rsidRDefault="00B40AA0">
            <w:pPr>
              <w:spacing w:line="360" w:lineRule="auto"/>
              <w:jc w:val="center"/>
              <w:rPr>
                <w:rFonts w:ascii="Arial" w:eastAsia="Arial" w:hAnsi="Arial" w:cs="Arial"/>
                <w:b/>
                <w:smallCaps/>
                <w:sz w:val="18"/>
                <w:szCs w:val="18"/>
              </w:rPr>
            </w:pPr>
            <w:r>
              <w:rPr>
                <w:rFonts w:ascii="Arial" w:eastAsia="Arial" w:hAnsi="Arial" w:cs="Arial"/>
                <w:b/>
                <w:smallCaps/>
                <w:sz w:val="18"/>
                <w:szCs w:val="18"/>
              </w:rPr>
              <w:t xml:space="preserve">PRINCIPIOS Y APLICACIONES DE PROCESOS FISICOQUÍMICOS </w:t>
            </w:r>
          </w:p>
        </w:tc>
      </w:tr>
    </w:tbl>
    <w:p w14:paraId="699338C6" w14:textId="77777777" w:rsidR="00BA33EF" w:rsidRDefault="00BA33EF">
      <w:pPr>
        <w:pBdr>
          <w:top w:val="nil"/>
          <w:left w:val="nil"/>
          <w:bottom w:val="nil"/>
          <w:right w:val="nil"/>
          <w:between w:val="nil"/>
        </w:pBdr>
        <w:spacing w:line="360" w:lineRule="auto"/>
        <w:ind w:firstLine="288"/>
        <w:jc w:val="both"/>
        <w:rPr>
          <w:rFonts w:ascii="Arial" w:eastAsia="Arial" w:hAnsi="Arial" w:cs="Arial"/>
          <w:color w:val="000000"/>
          <w:sz w:val="18"/>
          <w:szCs w:val="18"/>
        </w:rPr>
      </w:pPr>
    </w:p>
    <w:p w14:paraId="4FF5F479" w14:textId="77777777" w:rsidR="00BA33EF" w:rsidRDefault="00BA33EF">
      <w:pPr>
        <w:pBdr>
          <w:top w:val="nil"/>
          <w:left w:val="nil"/>
          <w:bottom w:val="nil"/>
          <w:right w:val="nil"/>
          <w:between w:val="nil"/>
        </w:pBdr>
        <w:spacing w:line="360" w:lineRule="auto"/>
        <w:ind w:firstLine="288"/>
        <w:jc w:val="both"/>
        <w:rPr>
          <w:rFonts w:ascii="Arial" w:eastAsia="Arial" w:hAnsi="Arial" w:cs="Arial"/>
          <w:color w:val="000000"/>
          <w:sz w:val="18"/>
          <w:szCs w:val="18"/>
        </w:rPr>
      </w:pPr>
    </w:p>
    <w:tbl>
      <w:tblPr>
        <w:tblStyle w:val="a2"/>
        <w:tblW w:w="8712" w:type="dxa"/>
        <w:tblInd w:w="144" w:type="dxa"/>
        <w:tblLayout w:type="fixed"/>
        <w:tblLook w:val="0000" w:firstRow="0" w:lastRow="0" w:firstColumn="0" w:lastColumn="0" w:noHBand="0" w:noVBand="0"/>
      </w:tblPr>
      <w:tblGrid>
        <w:gridCol w:w="4176"/>
        <w:gridCol w:w="360"/>
        <w:gridCol w:w="4176"/>
      </w:tblGrid>
      <w:tr w:rsidR="00BA33EF" w14:paraId="3FC78869" w14:textId="77777777">
        <w:tc>
          <w:tcPr>
            <w:tcW w:w="4176" w:type="dxa"/>
            <w:tcBorders>
              <w:top w:val="single" w:sz="6" w:space="0" w:color="000000"/>
              <w:left w:val="single" w:sz="6" w:space="0" w:color="000000"/>
              <w:right w:val="single" w:sz="6" w:space="0" w:color="000000"/>
            </w:tcBorders>
          </w:tcPr>
          <w:p w14:paraId="29B0990E" w14:textId="77777777" w:rsidR="00BA33EF" w:rsidRDefault="00B40AA0">
            <w:pPr>
              <w:pBdr>
                <w:top w:val="nil"/>
                <w:left w:val="nil"/>
                <w:bottom w:val="nil"/>
                <w:right w:val="nil"/>
                <w:between w:val="nil"/>
              </w:pBdr>
              <w:spacing w:line="36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CICLO</w:t>
            </w:r>
          </w:p>
        </w:tc>
        <w:tc>
          <w:tcPr>
            <w:tcW w:w="360" w:type="dxa"/>
          </w:tcPr>
          <w:p w14:paraId="76EC726B" w14:textId="77777777" w:rsidR="00BA33EF" w:rsidRDefault="00BA33EF">
            <w:pPr>
              <w:pBdr>
                <w:top w:val="nil"/>
                <w:left w:val="nil"/>
                <w:bottom w:val="nil"/>
                <w:right w:val="nil"/>
                <w:between w:val="nil"/>
              </w:pBdr>
              <w:spacing w:line="360" w:lineRule="auto"/>
              <w:jc w:val="center"/>
              <w:rPr>
                <w:rFonts w:ascii="Arial" w:eastAsia="Arial" w:hAnsi="Arial" w:cs="Arial"/>
                <w:b/>
                <w:smallCaps/>
                <w:color w:val="000000"/>
                <w:sz w:val="18"/>
                <w:szCs w:val="18"/>
              </w:rPr>
            </w:pPr>
          </w:p>
        </w:tc>
        <w:tc>
          <w:tcPr>
            <w:tcW w:w="4176" w:type="dxa"/>
            <w:tcBorders>
              <w:top w:val="single" w:sz="6" w:space="0" w:color="000000"/>
              <w:left w:val="single" w:sz="6" w:space="0" w:color="000000"/>
              <w:right w:val="single" w:sz="6" w:space="0" w:color="000000"/>
            </w:tcBorders>
          </w:tcPr>
          <w:p w14:paraId="67EE65E2" w14:textId="77777777" w:rsidR="00BA33EF" w:rsidRDefault="00B40AA0">
            <w:pPr>
              <w:pBdr>
                <w:top w:val="nil"/>
                <w:left w:val="nil"/>
                <w:bottom w:val="nil"/>
                <w:right w:val="nil"/>
                <w:between w:val="nil"/>
              </w:pBdr>
              <w:spacing w:line="36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CLAVE DE LA ASIGNATURA</w:t>
            </w:r>
          </w:p>
        </w:tc>
      </w:tr>
      <w:tr w:rsidR="00BA33EF" w14:paraId="7BDB496D" w14:textId="77777777">
        <w:tc>
          <w:tcPr>
            <w:tcW w:w="4176" w:type="dxa"/>
            <w:tcBorders>
              <w:left w:val="single" w:sz="6" w:space="0" w:color="000000"/>
              <w:bottom w:val="single" w:sz="6" w:space="0" w:color="000000"/>
              <w:right w:val="single" w:sz="6" w:space="0" w:color="000000"/>
            </w:tcBorders>
          </w:tcPr>
          <w:p w14:paraId="64C900E7" w14:textId="77777777" w:rsidR="00BA33EF" w:rsidRDefault="00B40AA0">
            <w:pPr>
              <w:pBdr>
                <w:top w:val="nil"/>
                <w:left w:val="nil"/>
                <w:bottom w:val="nil"/>
                <w:right w:val="nil"/>
                <w:between w:val="nil"/>
              </w:pBdr>
              <w:spacing w:line="360" w:lineRule="auto"/>
              <w:jc w:val="center"/>
              <w:rPr>
                <w:rFonts w:ascii="Arial" w:eastAsia="Arial" w:hAnsi="Arial" w:cs="Arial"/>
                <w:smallCaps/>
                <w:color w:val="000000"/>
                <w:sz w:val="18"/>
                <w:szCs w:val="18"/>
              </w:rPr>
            </w:pPr>
            <w:r>
              <w:rPr>
                <w:rFonts w:ascii="Arial" w:eastAsia="Arial" w:hAnsi="Arial" w:cs="Arial"/>
                <w:smallCaps/>
                <w:color w:val="000000"/>
                <w:sz w:val="18"/>
                <w:szCs w:val="18"/>
              </w:rPr>
              <w:t>CICLO 2</w:t>
            </w:r>
          </w:p>
        </w:tc>
        <w:tc>
          <w:tcPr>
            <w:tcW w:w="360" w:type="dxa"/>
          </w:tcPr>
          <w:p w14:paraId="0E34992E" w14:textId="77777777" w:rsidR="00BA33EF" w:rsidRDefault="00BA33EF">
            <w:pPr>
              <w:pBdr>
                <w:top w:val="nil"/>
                <w:left w:val="nil"/>
                <w:bottom w:val="nil"/>
                <w:right w:val="nil"/>
                <w:between w:val="nil"/>
              </w:pBdr>
              <w:spacing w:line="360" w:lineRule="auto"/>
              <w:jc w:val="center"/>
              <w:rPr>
                <w:rFonts w:ascii="Arial" w:eastAsia="Arial" w:hAnsi="Arial" w:cs="Arial"/>
                <w:smallCaps/>
                <w:color w:val="000000"/>
                <w:sz w:val="18"/>
                <w:szCs w:val="18"/>
              </w:rPr>
            </w:pPr>
          </w:p>
        </w:tc>
        <w:tc>
          <w:tcPr>
            <w:tcW w:w="4176" w:type="dxa"/>
            <w:tcBorders>
              <w:left w:val="single" w:sz="6" w:space="0" w:color="000000"/>
              <w:bottom w:val="single" w:sz="6" w:space="0" w:color="000000"/>
              <w:right w:val="single" w:sz="6" w:space="0" w:color="000000"/>
            </w:tcBorders>
          </w:tcPr>
          <w:p w14:paraId="12E52579" w14:textId="77777777" w:rsidR="00BA33EF" w:rsidRDefault="00B40AA0">
            <w:pPr>
              <w:pBdr>
                <w:top w:val="nil"/>
                <w:left w:val="nil"/>
                <w:bottom w:val="nil"/>
                <w:right w:val="nil"/>
                <w:between w:val="nil"/>
              </w:pBdr>
              <w:spacing w:line="360" w:lineRule="auto"/>
              <w:jc w:val="center"/>
              <w:rPr>
                <w:rFonts w:ascii="Arial" w:eastAsia="Arial" w:hAnsi="Arial" w:cs="Arial"/>
                <w:smallCaps/>
                <w:color w:val="000000"/>
                <w:sz w:val="18"/>
                <w:szCs w:val="18"/>
              </w:rPr>
            </w:pPr>
            <w:r>
              <w:rPr>
                <w:rFonts w:ascii="Arial" w:eastAsia="Arial" w:hAnsi="Arial" w:cs="Arial"/>
                <w:color w:val="000000"/>
                <w:sz w:val="18"/>
                <w:szCs w:val="18"/>
              </w:rPr>
              <w:t>CA-202</w:t>
            </w:r>
          </w:p>
        </w:tc>
      </w:tr>
    </w:tbl>
    <w:p w14:paraId="269CDCD3" w14:textId="77777777" w:rsidR="00BA33EF" w:rsidRDefault="00BA33EF">
      <w:pPr>
        <w:pBdr>
          <w:top w:val="nil"/>
          <w:left w:val="nil"/>
          <w:bottom w:val="nil"/>
          <w:right w:val="nil"/>
          <w:between w:val="nil"/>
        </w:pBdr>
        <w:spacing w:line="360" w:lineRule="auto"/>
        <w:ind w:firstLine="288"/>
        <w:jc w:val="both"/>
        <w:rPr>
          <w:rFonts w:ascii="Arial" w:eastAsia="Arial" w:hAnsi="Arial" w:cs="Arial"/>
          <w:color w:val="000000"/>
          <w:sz w:val="18"/>
          <w:szCs w:val="18"/>
        </w:rPr>
      </w:pPr>
    </w:p>
    <w:p w14:paraId="6AD058CD" w14:textId="77777777" w:rsidR="00BA33EF" w:rsidRDefault="00BA33EF">
      <w:pPr>
        <w:pBdr>
          <w:top w:val="nil"/>
          <w:left w:val="nil"/>
          <w:bottom w:val="nil"/>
          <w:right w:val="nil"/>
          <w:between w:val="nil"/>
        </w:pBdr>
        <w:spacing w:line="360" w:lineRule="auto"/>
        <w:ind w:firstLine="288"/>
        <w:jc w:val="both"/>
        <w:rPr>
          <w:rFonts w:ascii="Arial" w:eastAsia="Arial" w:hAnsi="Arial" w:cs="Arial"/>
          <w:color w:val="000000"/>
          <w:sz w:val="18"/>
          <w:szCs w:val="18"/>
        </w:rPr>
      </w:pPr>
    </w:p>
    <w:p w14:paraId="55EB9B9E" w14:textId="77777777" w:rsidR="00BA33EF" w:rsidRDefault="00B40AA0">
      <w:pPr>
        <w:spacing w:line="360" w:lineRule="auto"/>
        <w:jc w:val="both"/>
        <w:rPr>
          <w:rFonts w:ascii="Arial" w:eastAsia="Arial" w:hAnsi="Arial" w:cs="Arial"/>
          <w:smallCaps/>
          <w:sz w:val="18"/>
          <w:szCs w:val="18"/>
        </w:rPr>
      </w:pPr>
      <w:r>
        <w:rPr>
          <w:rFonts w:ascii="Arial" w:eastAsia="Arial" w:hAnsi="Arial" w:cs="Arial"/>
          <w:b/>
          <w:smallCaps/>
          <w:sz w:val="18"/>
          <w:szCs w:val="18"/>
        </w:rPr>
        <w:t xml:space="preserve">OBJETIVO(S) GENERAL(ES) DE LA ASIGNATURA </w:t>
      </w:r>
      <w:r>
        <w:rPr>
          <w:rFonts w:ascii="Arial" w:eastAsia="Arial" w:hAnsi="Arial" w:cs="Arial"/>
          <w:smallCaps/>
          <w:sz w:val="18"/>
          <w:szCs w:val="18"/>
        </w:rPr>
        <w:t xml:space="preserve"> </w:t>
      </w:r>
    </w:p>
    <w:p w14:paraId="4ABDF302" w14:textId="77777777" w:rsidR="00BA33EF" w:rsidRDefault="00B40AA0">
      <w:pPr>
        <w:spacing w:line="360" w:lineRule="auto"/>
        <w:ind w:left="426"/>
        <w:jc w:val="both"/>
        <w:rPr>
          <w:rFonts w:ascii="Arial" w:eastAsia="Arial" w:hAnsi="Arial" w:cs="Arial"/>
          <w:sz w:val="18"/>
          <w:szCs w:val="18"/>
        </w:rPr>
      </w:pPr>
      <w:r>
        <w:rPr>
          <w:rFonts w:ascii="Arial" w:eastAsia="Arial" w:hAnsi="Arial" w:cs="Arial"/>
          <w:sz w:val="18"/>
          <w:szCs w:val="18"/>
        </w:rPr>
        <w:t>El objetivo de la asignatura es instruir a los estudiantes sobre los principios de los procesos fisicoquímicos comúnmente usados en el tratamiento de sólidos, efluentes líquidos y gaseosos. El orden en el que se presentan los procesos es el que generalmente se sigue para realizar un tratamiento integral del problema. En los temas que componen la asignatura se expondrán los fundamentos de cada proceso, las ecuaciones usadas en el diseño de las operaciones unitarias y, para reforzar el conocimiento adquirido, se expondrán ejemplos de la aplicación de los procesos. Al finalizar el curso, los estudiantes tendrán el conocimiento y las herramientas necesarias para evaluar los procesos fisicoquímicos empleados en sistemas de tratamiento.</w:t>
      </w:r>
    </w:p>
    <w:p w14:paraId="7420822B" w14:textId="77777777" w:rsidR="00BA33EF" w:rsidRDefault="00BA33EF">
      <w:pPr>
        <w:pBdr>
          <w:top w:val="nil"/>
          <w:left w:val="nil"/>
          <w:bottom w:val="nil"/>
          <w:right w:val="nil"/>
          <w:between w:val="nil"/>
        </w:pBdr>
        <w:spacing w:line="360" w:lineRule="auto"/>
        <w:ind w:left="288"/>
        <w:jc w:val="both"/>
        <w:rPr>
          <w:rFonts w:ascii="Arial" w:eastAsia="Arial" w:hAnsi="Arial" w:cs="Arial"/>
          <w:color w:val="000000"/>
          <w:sz w:val="18"/>
          <w:szCs w:val="18"/>
        </w:rPr>
      </w:pPr>
    </w:p>
    <w:p w14:paraId="1E2EA1C9" w14:textId="77777777" w:rsidR="00BA33EF" w:rsidRDefault="00B40AA0">
      <w:pPr>
        <w:pBdr>
          <w:top w:val="nil"/>
          <w:left w:val="nil"/>
          <w:bottom w:val="nil"/>
          <w:right w:val="nil"/>
          <w:between w:val="nil"/>
        </w:pBdr>
        <w:spacing w:line="360" w:lineRule="auto"/>
        <w:jc w:val="both"/>
        <w:rPr>
          <w:rFonts w:ascii="Arial" w:eastAsia="Arial" w:hAnsi="Arial" w:cs="Arial"/>
          <w:b/>
          <w:smallCaps/>
          <w:color w:val="000000"/>
          <w:sz w:val="18"/>
          <w:szCs w:val="18"/>
        </w:rPr>
      </w:pPr>
      <w:r>
        <w:rPr>
          <w:rFonts w:ascii="Arial" w:eastAsia="Arial" w:hAnsi="Arial" w:cs="Arial"/>
          <w:b/>
          <w:smallCaps/>
          <w:color w:val="000000"/>
          <w:sz w:val="18"/>
          <w:szCs w:val="18"/>
        </w:rPr>
        <w:t xml:space="preserve">TEMAS Y SUBTEMAS </w:t>
      </w:r>
    </w:p>
    <w:p w14:paraId="7E0160BA" w14:textId="77777777" w:rsidR="00BA33EF" w:rsidRDefault="00B40AA0">
      <w:pPr>
        <w:spacing w:before="120" w:line="360" w:lineRule="auto"/>
        <w:ind w:left="426"/>
        <w:rPr>
          <w:rFonts w:ascii="Arial" w:eastAsia="Arial" w:hAnsi="Arial" w:cs="Arial"/>
          <w:b/>
          <w:sz w:val="18"/>
          <w:szCs w:val="18"/>
        </w:rPr>
      </w:pPr>
      <w:r>
        <w:rPr>
          <w:rFonts w:ascii="Arial" w:eastAsia="Arial" w:hAnsi="Arial" w:cs="Arial"/>
          <w:b/>
          <w:sz w:val="18"/>
          <w:szCs w:val="18"/>
        </w:rPr>
        <w:t xml:space="preserve">Unidad 1: Coagulación </w:t>
      </w:r>
    </w:p>
    <w:p w14:paraId="15E8AF11" w14:textId="77777777" w:rsidR="00BA33EF" w:rsidRDefault="00B40AA0">
      <w:pPr>
        <w:numPr>
          <w:ilvl w:val="0"/>
          <w:numId w:val="8"/>
        </w:numPr>
        <w:pBdr>
          <w:top w:val="nil"/>
          <w:left w:val="nil"/>
          <w:bottom w:val="nil"/>
          <w:right w:val="nil"/>
          <w:between w:val="nil"/>
        </w:pBdr>
        <w:spacing w:line="360" w:lineRule="auto"/>
        <w:ind w:left="1418"/>
        <w:jc w:val="both"/>
        <w:rPr>
          <w:rFonts w:ascii="Arial" w:eastAsia="Arial" w:hAnsi="Arial" w:cs="Arial"/>
          <w:color w:val="000000"/>
          <w:sz w:val="18"/>
          <w:szCs w:val="18"/>
        </w:rPr>
      </w:pPr>
      <w:r>
        <w:rPr>
          <w:rFonts w:ascii="Arial" w:eastAsia="Arial" w:hAnsi="Arial" w:cs="Arial"/>
          <w:color w:val="000000"/>
          <w:sz w:val="18"/>
          <w:szCs w:val="18"/>
        </w:rPr>
        <w:t>Introducción a procesos fisicoquímicos</w:t>
      </w:r>
    </w:p>
    <w:p w14:paraId="1A90DD72" w14:textId="77777777" w:rsidR="00BA33EF" w:rsidRDefault="00B40AA0">
      <w:pPr>
        <w:numPr>
          <w:ilvl w:val="0"/>
          <w:numId w:val="8"/>
        </w:numPr>
        <w:pBdr>
          <w:top w:val="nil"/>
          <w:left w:val="nil"/>
          <w:bottom w:val="nil"/>
          <w:right w:val="nil"/>
          <w:between w:val="nil"/>
        </w:pBdr>
        <w:spacing w:line="360" w:lineRule="auto"/>
        <w:ind w:left="1418"/>
        <w:jc w:val="both"/>
        <w:rPr>
          <w:rFonts w:ascii="Arial" w:eastAsia="Arial" w:hAnsi="Arial" w:cs="Arial"/>
          <w:color w:val="000000"/>
          <w:sz w:val="18"/>
          <w:szCs w:val="18"/>
        </w:rPr>
      </w:pPr>
      <w:r>
        <w:rPr>
          <w:rFonts w:ascii="Arial" w:eastAsia="Arial" w:hAnsi="Arial" w:cs="Arial"/>
          <w:color w:val="000000"/>
          <w:sz w:val="18"/>
          <w:szCs w:val="18"/>
        </w:rPr>
        <w:t>Origen de la estabilidad de coloides</w:t>
      </w:r>
    </w:p>
    <w:p w14:paraId="428C0FB8" w14:textId="77777777" w:rsidR="00BA33EF" w:rsidRDefault="00B40AA0">
      <w:pPr>
        <w:numPr>
          <w:ilvl w:val="0"/>
          <w:numId w:val="8"/>
        </w:numPr>
        <w:pBdr>
          <w:top w:val="nil"/>
          <w:left w:val="nil"/>
          <w:bottom w:val="nil"/>
          <w:right w:val="nil"/>
          <w:between w:val="nil"/>
        </w:pBdr>
        <w:spacing w:line="360" w:lineRule="auto"/>
        <w:ind w:left="1418"/>
        <w:jc w:val="both"/>
        <w:rPr>
          <w:rFonts w:ascii="Arial" w:eastAsia="Arial" w:hAnsi="Arial" w:cs="Arial"/>
          <w:color w:val="000000"/>
          <w:sz w:val="18"/>
          <w:szCs w:val="18"/>
        </w:rPr>
      </w:pPr>
      <w:r>
        <w:rPr>
          <w:rFonts w:ascii="Arial" w:eastAsia="Arial" w:hAnsi="Arial" w:cs="Arial"/>
          <w:color w:val="000000"/>
          <w:sz w:val="18"/>
          <w:szCs w:val="18"/>
        </w:rPr>
        <w:t>Teoría de la doble capa</w:t>
      </w:r>
    </w:p>
    <w:p w14:paraId="1243CD41" w14:textId="77777777" w:rsidR="00BA33EF" w:rsidRDefault="00B40AA0">
      <w:pPr>
        <w:numPr>
          <w:ilvl w:val="0"/>
          <w:numId w:val="8"/>
        </w:numPr>
        <w:pBdr>
          <w:top w:val="nil"/>
          <w:left w:val="nil"/>
          <w:bottom w:val="nil"/>
          <w:right w:val="nil"/>
          <w:between w:val="nil"/>
        </w:pBdr>
        <w:spacing w:line="360" w:lineRule="auto"/>
        <w:ind w:left="1418"/>
        <w:jc w:val="both"/>
        <w:rPr>
          <w:rFonts w:ascii="Arial" w:eastAsia="Arial" w:hAnsi="Arial" w:cs="Arial"/>
          <w:color w:val="000000"/>
          <w:sz w:val="18"/>
          <w:szCs w:val="18"/>
        </w:rPr>
      </w:pPr>
      <w:r>
        <w:rPr>
          <w:rFonts w:ascii="Arial" w:eastAsia="Arial" w:hAnsi="Arial" w:cs="Arial"/>
          <w:color w:val="000000"/>
          <w:sz w:val="18"/>
          <w:szCs w:val="18"/>
        </w:rPr>
        <w:t>Desestabilización de suspensiones coloidales</w:t>
      </w:r>
    </w:p>
    <w:p w14:paraId="4E25EE0F" w14:textId="77777777" w:rsidR="00BA33EF" w:rsidRDefault="00B40AA0">
      <w:pPr>
        <w:numPr>
          <w:ilvl w:val="0"/>
          <w:numId w:val="8"/>
        </w:numPr>
        <w:pBdr>
          <w:top w:val="nil"/>
          <w:left w:val="nil"/>
          <w:bottom w:val="nil"/>
          <w:right w:val="nil"/>
          <w:between w:val="nil"/>
        </w:pBdr>
        <w:spacing w:line="360" w:lineRule="auto"/>
        <w:ind w:left="1418"/>
        <w:jc w:val="both"/>
        <w:rPr>
          <w:rFonts w:ascii="Arial" w:eastAsia="Arial" w:hAnsi="Arial" w:cs="Arial"/>
          <w:color w:val="000000"/>
          <w:sz w:val="18"/>
          <w:szCs w:val="18"/>
        </w:rPr>
      </w:pPr>
      <w:r>
        <w:rPr>
          <w:rFonts w:ascii="Arial" w:eastAsia="Arial" w:hAnsi="Arial" w:cs="Arial"/>
          <w:color w:val="000000"/>
          <w:sz w:val="18"/>
          <w:szCs w:val="18"/>
        </w:rPr>
        <w:t>Escenario del proceso de coagulación</w:t>
      </w:r>
    </w:p>
    <w:p w14:paraId="202A9F2D" w14:textId="77777777" w:rsidR="00BA33EF" w:rsidRDefault="00B40AA0">
      <w:pPr>
        <w:spacing w:before="120" w:line="360" w:lineRule="auto"/>
        <w:ind w:left="426"/>
        <w:rPr>
          <w:rFonts w:ascii="Arial" w:eastAsia="Arial" w:hAnsi="Arial" w:cs="Arial"/>
          <w:b/>
          <w:sz w:val="18"/>
          <w:szCs w:val="18"/>
        </w:rPr>
      </w:pPr>
      <w:r>
        <w:rPr>
          <w:rFonts w:ascii="Arial" w:eastAsia="Arial" w:hAnsi="Arial" w:cs="Arial"/>
          <w:b/>
          <w:sz w:val="18"/>
          <w:szCs w:val="18"/>
        </w:rPr>
        <w:t xml:space="preserve">Unidad 2: Floculación </w:t>
      </w:r>
    </w:p>
    <w:p w14:paraId="1E294024" w14:textId="77777777" w:rsidR="00BA33EF" w:rsidRDefault="00B40AA0">
      <w:pPr>
        <w:numPr>
          <w:ilvl w:val="0"/>
          <w:numId w:val="1"/>
        </w:numPr>
        <w:pBdr>
          <w:top w:val="nil"/>
          <w:left w:val="nil"/>
          <w:bottom w:val="nil"/>
          <w:right w:val="nil"/>
          <w:between w:val="nil"/>
        </w:pBdr>
        <w:spacing w:line="360" w:lineRule="auto"/>
        <w:ind w:left="1418"/>
        <w:jc w:val="both"/>
        <w:rPr>
          <w:rFonts w:ascii="Arial" w:eastAsia="Arial" w:hAnsi="Arial" w:cs="Arial"/>
          <w:color w:val="000000"/>
          <w:sz w:val="18"/>
          <w:szCs w:val="18"/>
        </w:rPr>
      </w:pPr>
      <w:r>
        <w:rPr>
          <w:rFonts w:ascii="Arial" w:eastAsia="Arial" w:hAnsi="Arial" w:cs="Arial"/>
          <w:color w:val="000000"/>
          <w:sz w:val="18"/>
          <w:szCs w:val="18"/>
        </w:rPr>
        <w:t>Diseño de reactores de coagulación y floculación</w:t>
      </w:r>
    </w:p>
    <w:p w14:paraId="2F8E60CC" w14:textId="77777777" w:rsidR="00BA33EF" w:rsidRDefault="00B40AA0">
      <w:pPr>
        <w:numPr>
          <w:ilvl w:val="0"/>
          <w:numId w:val="1"/>
        </w:numPr>
        <w:pBdr>
          <w:top w:val="nil"/>
          <w:left w:val="nil"/>
          <w:bottom w:val="nil"/>
          <w:right w:val="nil"/>
          <w:between w:val="nil"/>
        </w:pBdr>
        <w:spacing w:line="360" w:lineRule="auto"/>
        <w:ind w:left="1418"/>
        <w:jc w:val="both"/>
        <w:rPr>
          <w:rFonts w:ascii="Arial" w:eastAsia="Arial" w:hAnsi="Arial" w:cs="Arial"/>
          <w:color w:val="000000"/>
          <w:sz w:val="18"/>
          <w:szCs w:val="18"/>
        </w:rPr>
      </w:pPr>
      <w:r>
        <w:rPr>
          <w:rFonts w:ascii="Arial" w:eastAsia="Arial" w:hAnsi="Arial" w:cs="Arial"/>
          <w:color w:val="000000"/>
          <w:sz w:val="18"/>
          <w:szCs w:val="18"/>
        </w:rPr>
        <w:t>Principio del equilibrio de precipitación y cinética</w:t>
      </w:r>
    </w:p>
    <w:p w14:paraId="04244309" w14:textId="77777777" w:rsidR="00BA33EF" w:rsidRDefault="00B40AA0">
      <w:pPr>
        <w:numPr>
          <w:ilvl w:val="0"/>
          <w:numId w:val="1"/>
        </w:numPr>
        <w:pBdr>
          <w:top w:val="nil"/>
          <w:left w:val="nil"/>
          <w:bottom w:val="nil"/>
          <w:right w:val="nil"/>
          <w:between w:val="nil"/>
        </w:pBdr>
        <w:spacing w:line="360" w:lineRule="auto"/>
        <w:ind w:left="1418"/>
        <w:jc w:val="both"/>
        <w:rPr>
          <w:rFonts w:ascii="Arial" w:eastAsia="Arial" w:hAnsi="Arial" w:cs="Arial"/>
          <w:color w:val="000000"/>
          <w:sz w:val="18"/>
          <w:szCs w:val="18"/>
        </w:rPr>
      </w:pPr>
      <w:r>
        <w:rPr>
          <w:rFonts w:ascii="Arial" w:eastAsia="Arial" w:hAnsi="Arial" w:cs="Arial"/>
          <w:color w:val="000000"/>
          <w:sz w:val="18"/>
          <w:szCs w:val="18"/>
        </w:rPr>
        <w:t>Ejemplos de la aplicación de los procesos de coagulación-floculación en agua potable y en aguas municipales residuales</w:t>
      </w:r>
    </w:p>
    <w:p w14:paraId="7E2C6A56" w14:textId="77777777" w:rsidR="00BA33EF" w:rsidRDefault="00B40AA0">
      <w:pPr>
        <w:spacing w:before="120" w:line="360" w:lineRule="auto"/>
        <w:ind w:left="426"/>
        <w:rPr>
          <w:rFonts w:ascii="Arial" w:eastAsia="Arial" w:hAnsi="Arial" w:cs="Arial"/>
          <w:b/>
          <w:sz w:val="18"/>
          <w:szCs w:val="18"/>
        </w:rPr>
      </w:pPr>
      <w:r>
        <w:rPr>
          <w:rFonts w:ascii="Arial" w:eastAsia="Arial" w:hAnsi="Arial" w:cs="Arial"/>
          <w:b/>
          <w:sz w:val="18"/>
          <w:szCs w:val="18"/>
        </w:rPr>
        <w:t xml:space="preserve">Unidad 3: Sedimentación </w:t>
      </w:r>
    </w:p>
    <w:p w14:paraId="08F85CAE" w14:textId="77777777" w:rsidR="00BA33EF" w:rsidRDefault="00B40AA0">
      <w:pPr>
        <w:numPr>
          <w:ilvl w:val="0"/>
          <w:numId w:val="2"/>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Diseño de sedimentadores</w:t>
      </w:r>
    </w:p>
    <w:p w14:paraId="3B08475E" w14:textId="77777777" w:rsidR="00BA33EF" w:rsidRDefault="00B40AA0">
      <w:pPr>
        <w:numPr>
          <w:ilvl w:val="0"/>
          <w:numId w:val="2"/>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Operación de tanques de sedimentación</w:t>
      </w:r>
    </w:p>
    <w:p w14:paraId="47A6B7EA" w14:textId="77777777" w:rsidR="00BA33EF" w:rsidRDefault="00B40AA0">
      <w:pPr>
        <w:numPr>
          <w:ilvl w:val="0"/>
          <w:numId w:val="2"/>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Ejemplos de aplicación del proceso de sedimentación en agua potable y en aguas municipales residuales</w:t>
      </w:r>
    </w:p>
    <w:p w14:paraId="61EA72E2" w14:textId="77777777" w:rsidR="00BA33EF" w:rsidRDefault="00B40AA0">
      <w:pPr>
        <w:spacing w:before="120" w:line="360" w:lineRule="auto"/>
        <w:ind w:left="360"/>
        <w:rPr>
          <w:rFonts w:ascii="Arial" w:eastAsia="Arial" w:hAnsi="Arial" w:cs="Arial"/>
          <w:b/>
          <w:sz w:val="18"/>
          <w:szCs w:val="18"/>
        </w:rPr>
      </w:pPr>
      <w:r>
        <w:rPr>
          <w:rFonts w:ascii="Arial" w:eastAsia="Arial" w:hAnsi="Arial" w:cs="Arial"/>
          <w:b/>
          <w:sz w:val="18"/>
          <w:szCs w:val="18"/>
        </w:rPr>
        <w:t xml:space="preserve">Unidad  4: Filtración </w:t>
      </w:r>
    </w:p>
    <w:p w14:paraId="7A4630FF" w14:textId="77777777" w:rsidR="00BA33EF" w:rsidRDefault="00B40AA0">
      <w:pPr>
        <w:numPr>
          <w:ilvl w:val="0"/>
          <w:numId w:val="3"/>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Principios y descripción general</w:t>
      </w:r>
    </w:p>
    <w:p w14:paraId="71D2B23A" w14:textId="77777777" w:rsidR="00BA33EF" w:rsidRDefault="00B40AA0">
      <w:pPr>
        <w:numPr>
          <w:ilvl w:val="0"/>
          <w:numId w:val="3"/>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Mecanismo y modelamiento de filtración en columnas y diseño del proceso</w:t>
      </w:r>
    </w:p>
    <w:p w14:paraId="3B0C4432" w14:textId="77777777" w:rsidR="00BA33EF" w:rsidRDefault="00B40AA0">
      <w:pPr>
        <w:numPr>
          <w:ilvl w:val="0"/>
          <w:numId w:val="3"/>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lastRenderedPageBreak/>
        <w:t>Ejemplos del proceso de filtración</w:t>
      </w:r>
    </w:p>
    <w:p w14:paraId="60A10602" w14:textId="77777777" w:rsidR="00BA33EF" w:rsidRDefault="00B40AA0">
      <w:pPr>
        <w:spacing w:before="120" w:line="360" w:lineRule="auto"/>
        <w:ind w:left="426"/>
        <w:rPr>
          <w:rFonts w:ascii="Arial" w:eastAsia="Arial" w:hAnsi="Arial" w:cs="Arial"/>
          <w:b/>
          <w:sz w:val="18"/>
          <w:szCs w:val="18"/>
        </w:rPr>
      </w:pPr>
      <w:r>
        <w:rPr>
          <w:rFonts w:ascii="Arial" w:eastAsia="Arial" w:hAnsi="Arial" w:cs="Arial"/>
          <w:b/>
          <w:sz w:val="18"/>
          <w:szCs w:val="18"/>
        </w:rPr>
        <w:t>Unidad 5: Separaciones a base de Membranas</w:t>
      </w:r>
    </w:p>
    <w:p w14:paraId="1C705E62" w14:textId="77777777" w:rsidR="00BA33EF" w:rsidRDefault="00B40AA0">
      <w:pPr>
        <w:numPr>
          <w:ilvl w:val="0"/>
          <w:numId w:val="4"/>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Fundamentos y aplicaciones</w:t>
      </w:r>
    </w:p>
    <w:p w14:paraId="1DE19F69" w14:textId="77777777" w:rsidR="00BA33EF" w:rsidRDefault="00B40AA0">
      <w:pPr>
        <w:numPr>
          <w:ilvl w:val="0"/>
          <w:numId w:val="4"/>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Descripción, fundamentos y diseño del proceso</w:t>
      </w:r>
    </w:p>
    <w:p w14:paraId="73AD2F65" w14:textId="77777777" w:rsidR="00BA33EF" w:rsidRDefault="00B40AA0">
      <w:pPr>
        <w:numPr>
          <w:ilvl w:val="0"/>
          <w:numId w:val="4"/>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Osmosis Inversa. Descripción y fundamentos del proceso</w:t>
      </w:r>
    </w:p>
    <w:p w14:paraId="560034FE" w14:textId="77777777" w:rsidR="00BA33EF" w:rsidRDefault="00B40AA0">
      <w:pPr>
        <w:numPr>
          <w:ilvl w:val="0"/>
          <w:numId w:val="4"/>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Electrodiálisis. Descripción y Fundamentos</w:t>
      </w:r>
    </w:p>
    <w:p w14:paraId="60FDE57D" w14:textId="77777777" w:rsidR="00BA33EF" w:rsidRDefault="00B40AA0">
      <w:pPr>
        <w:numPr>
          <w:ilvl w:val="0"/>
          <w:numId w:val="4"/>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Ejemplos de la aplicación de procesos de filtración por membranas. Ejemplos en el tratamiento de agua potable y de aguas residuales</w:t>
      </w:r>
    </w:p>
    <w:p w14:paraId="0759D7DC" w14:textId="77777777" w:rsidR="00BA33EF" w:rsidRDefault="00B40AA0">
      <w:pPr>
        <w:spacing w:before="120" w:line="360" w:lineRule="auto"/>
        <w:ind w:left="426"/>
        <w:rPr>
          <w:rFonts w:ascii="Arial" w:eastAsia="Arial" w:hAnsi="Arial" w:cs="Arial"/>
          <w:b/>
          <w:sz w:val="18"/>
          <w:szCs w:val="18"/>
        </w:rPr>
      </w:pPr>
      <w:r>
        <w:rPr>
          <w:rFonts w:ascii="Arial" w:eastAsia="Arial" w:hAnsi="Arial" w:cs="Arial"/>
          <w:b/>
          <w:sz w:val="18"/>
          <w:szCs w:val="18"/>
        </w:rPr>
        <w:t>Unidad 6: Procesos de adsorción</w:t>
      </w:r>
    </w:p>
    <w:p w14:paraId="1CBAD888" w14:textId="77777777" w:rsidR="00BA33EF" w:rsidRDefault="00B40AA0">
      <w:pPr>
        <w:numPr>
          <w:ilvl w:val="0"/>
          <w:numId w:val="5"/>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 xml:space="preserve">Principios de adsorción </w:t>
      </w:r>
    </w:p>
    <w:p w14:paraId="4711A96E" w14:textId="77777777" w:rsidR="00BA33EF" w:rsidRDefault="00B40AA0">
      <w:pPr>
        <w:numPr>
          <w:ilvl w:val="0"/>
          <w:numId w:val="5"/>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Equilibrio y cinética de adsorción</w:t>
      </w:r>
    </w:p>
    <w:p w14:paraId="0B9DBA81" w14:textId="77777777" w:rsidR="00BA33EF" w:rsidRDefault="00B40AA0">
      <w:pPr>
        <w:numPr>
          <w:ilvl w:val="0"/>
          <w:numId w:val="5"/>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Diseño de sistemas de tratamiento</w:t>
      </w:r>
    </w:p>
    <w:p w14:paraId="3D089CAA" w14:textId="77777777" w:rsidR="00BA33EF" w:rsidRDefault="00B40AA0">
      <w:pPr>
        <w:spacing w:before="120" w:line="360" w:lineRule="auto"/>
        <w:ind w:left="426"/>
        <w:rPr>
          <w:rFonts w:ascii="Arial" w:eastAsia="Arial" w:hAnsi="Arial" w:cs="Arial"/>
          <w:b/>
          <w:sz w:val="18"/>
          <w:szCs w:val="18"/>
        </w:rPr>
      </w:pPr>
      <w:r>
        <w:rPr>
          <w:rFonts w:ascii="Arial" w:eastAsia="Arial" w:hAnsi="Arial" w:cs="Arial"/>
          <w:b/>
          <w:sz w:val="18"/>
          <w:szCs w:val="18"/>
        </w:rPr>
        <w:t>Unidad  7: Intercambio Iónico</w:t>
      </w:r>
    </w:p>
    <w:p w14:paraId="0E6EE946" w14:textId="77777777" w:rsidR="00BA33EF" w:rsidRDefault="00B40AA0">
      <w:pPr>
        <w:numPr>
          <w:ilvl w:val="0"/>
          <w:numId w:val="6"/>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 xml:space="preserve">Principios y Materiales Intercambiadores </w:t>
      </w:r>
    </w:p>
    <w:p w14:paraId="4FF7C8CB" w14:textId="77777777" w:rsidR="00BA33EF" w:rsidRDefault="00B40AA0">
      <w:pPr>
        <w:numPr>
          <w:ilvl w:val="0"/>
          <w:numId w:val="6"/>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 xml:space="preserve">Resinas Poliméricas, Arcillas, Zeolitas Naturales. </w:t>
      </w:r>
    </w:p>
    <w:p w14:paraId="6FDEED95" w14:textId="77777777" w:rsidR="00BA33EF" w:rsidRDefault="00B40AA0">
      <w:pPr>
        <w:numPr>
          <w:ilvl w:val="0"/>
          <w:numId w:val="6"/>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Diseño de Sistemas de Intercambio iónico</w:t>
      </w:r>
    </w:p>
    <w:p w14:paraId="564D652A" w14:textId="77777777" w:rsidR="00BA33EF" w:rsidRDefault="00B40AA0">
      <w:pPr>
        <w:numPr>
          <w:ilvl w:val="0"/>
          <w:numId w:val="6"/>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Ejemplo de la aplicación de los procesos de adsorción e intercambio iónico</w:t>
      </w:r>
    </w:p>
    <w:p w14:paraId="722ED5CB" w14:textId="77777777" w:rsidR="00BA33EF" w:rsidRDefault="00B40AA0">
      <w:pPr>
        <w:spacing w:before="120" w:line="360" w:lineRule="auto"/>
        <w:ind w:left="426"/>
        <w:rPr>
          <w:rFonts w:ascii="Arial" w:eastAsia="Arial" w:hAnsi="Arial" w:cs="Arial"/>
          <w:b/>
          <w:sz w:val="18"/>
          <w:szCs w:val="18"/>
        </w:rPr>
      </w:pPr>
      <w:r>
        <w:rPr>
          <w:rFonts w:ascii="Arial" w:eastAsia="Arial" w:hAnsi="Arial" w:cs="Arial"/>
          <w:b/>
          <w:sz w:val="18"/>
          <w:szCs w:val="18"/>
        </w:rPr>
        <w:t xml:space="preserve">Unidad 8: Oxidación Química </w:t>
      </w:r>
    </w:p>
    <w:p w14:paraId="09CCCF46" w14:textId="77777777" w:rsidR="00BA33EF" w:rsidRDefault="00B40AA0">
      <w:pPr>
        <w:numPr>
          <w:ilvl w:val="0"/>
          <w:numId w:val="7"/>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 xml:space="preserve">Principios de la Oxidación Química y Electroquímica. </w:t>
      </w:r>
    </w:p>
    <w:p w14:paraId="11387418" w14:textId="77777777" w:rsidR="00BA33EF" w:rsidRDefault="00B40AA0">
      <w:pPr>
        <w:numPr>
          <w:ilvl w:val="0"/>
          <w:numId w:val="7"/>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Tecnología de la desinfección del agua: Oxidantes en el tratamiento de agua, desinfección electroquímica, ozonización, radiación UV-Visible.</w:t>
      </w:r>
    </w:p>
    <w:p w14:paraId="3DCA7105" w14:textId="77777777" w:rsidR="00BA33EF" w:rsidRDefault="00B40AA0">
      <w:pPr>
        <w:numPr>
          <w:ilvl w:val="0"/>
          <w:numId w:val="7"/>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 xml:space="preserve">Tecnología para el tratamiento de contaminantes: Oxidantes en el tratamiento de agua, degradación UV-Visible, oxidación electroquímica-fotoquímica </w:t>
      </w:r>
    </w:p>
    <w:p w14:paraId="1A5E9E6A" w14:textId="77777777" w:rsidR="00BA33EF" w:rsidRDefault="00B40AA0">
      <w:pPr>
        <w:numPr>
          <w:ilvl w:val="0"/>
          <w:numId w:val="7"/>
        </w:numPr>
        <w:pBdr>
          <w:top w:val="nil"/>
          <w:left w:val="nil"/>
          <w:bottom w:val="nil"/>
          <w:right w:val="nil"/>
          <w:between w:val="nil"/>
        </w:pBdr>
        <w:spacing w:line="360" w:lineRule="auto"/>
        <w:ind w:left="1418" w:hanging="284"/>
        <w:jc w:val="both"/>
        <w:rPr>
          <w:rFonts w:ascii="Arial" w:eastAsia="Arial" w:hAnsi="Arial" w:cs="Arial"/>
          <w:color w:val="000000"/>
          <w:sz w:val="18"/>
          <w:szCs w:val="18"/>
        </w:rPr>
      </w:pPr>
      <w:r>
        <w:rPr>
          <w:rFonts w:ascii="Arial" w:eastAsia="Arial" w:hAnsi="Arial" w:cs="Arial"/>
          <w:color w:val="000000"/>
          <w:sz w:val="18"/>
          <w:szCs w:val="18"/>
        </w:rPr>
        <w:t>Ejemplos de la aplicación de los procesos de oxidación avanzada</w:t>
      </w:r>
    </w:p>
    <w:p w14:paraId="3AF01AEE" w14:textId="77777777" w:rsidR="00BA33EF" w:rsidRDefault="00BA33EF">
      <w:pPr>
        <w:spacing w:line="360" w:lineRule="auto"/>
        <w:ind w:left="360" w:firstLine="706"/>
        <w:jc w:val="both"/>
        <w:rPr>
          <w:rFonts w:ascii="Arial" w:eastAsia="Arial" w:hAnsi="Arial" w:cs="Arial"/>
          <w:sz w:val="18"/>
          <w:szCs w:val="18"/>
        </w:rPr>
      </w:pPr>
    </w:p>
    <w:p w14:paraId="2845EECF" w14:textId="77777777" w:rsidR="00BA33EF" w:rsidRDefault="00B40AA0">
      <w:pPr>
        <w:pBdr>
          <w:top w:val="nil"/>
          <w:left w:val="nil"/>
          <w:bottom w:val="nil"/>
          <w:right w:val="nil"/>
          <w:between w:val="nil"/>
        </w:pBdr>
        <w:spacing w:line="360" w:lineRule="auto"/>
        <w:jc w:val="both"/>
        <w:rPr>
          <w:rFonts w:ascii="Arial" w:eastAsia="Arial" w:hAnsi="Arial" w:cs="Arial"/>
          <w:color w:val="000000"/>
          <w:sz w:val="18"/>
          <w:szCs w:val="18"/>
          <w:highlight w:val="yellow"/>
        </w:rPr>
      </w:pPr>
      <w:r>
        <w:rPr>
          <w:rFonts w:ascii="Arial" w:eastAsia="Arial" w:hAnsi="Arial" w:cs="Arial"/>
          <w:b/>
          <w:smallCaps/>
          <w:color w:val="000000"/>
          <w:sz w:val="18"/>
          <w:szCs w:val="18"/>
        </w:rPr>
        <w:t xml:space="preserve">ACTIVIDADES DE APRENDIZAJE </w:t>
      </w:r>
    </w:p>
    <w:p w14:paraId="1DE74694" w14:textId="12F2E5F6" w:rsidR="00BA33EF" w:rsidRDefault="00B40AA0">
      <w:pPr>
        <w:spacing w:line="360" w:lineRule="auto"/>
        <w:ind w:left="426"/>
        <w:jc w:val="both"/>
        <w:rPr>
          <w:rFonts w:ascii="Arial" w:eastAsia="Arial" w:hAnsi="Arial" w:cs="Arial"/>
          <w:sz w:val="18"/>
          <w:szCs w:val="18"/>
        </w:rPr>
      </w:pPr>
      <w:r>
        <w:rPr>
          <w:rFonts w:ascii="Arial" w:eastAsia="Arial" w:hAnsi="Arial" w:cs="Arial"/>
          <w:sz w:val="18"/>
          <w:szCs w:val="18"/>
        </w:rPr>
        <w:t>Los académicos responsables expondrán el contenido de la asignatura mediante clases audiovisuales. Estas clases se apoyarán con material didáctico y tareas de solución de problemas. Se asignarán tareas de carácter obligatorio, las cuales tendrán que ser entregadas en fechas acordadas. Dentro de las actividades prácticas se considera una visita a una planta de tratamiento de agua en operación. El estudiante deberá dedicar un total de 160 hs a esta asignatura, de las cuales 64 serán presenciales y las restantes 96 hs serán dedicadas a la lectura de textos y resolución de tareas (créditos totales = 1</w:t>
      </w:r>
      <w:r w:rsidR="006C0392">
        <w:rPr>
          <w:rFonts w:ascii="Arial" w:eastAsia="Arial" w:hAnsi="Arial" w:cs="Arial"/>
          <w:sz w:val="18"/>
          <w:szCs w:val="18"/>
        </w:rPr>
        <w:t>0</w:t>
      </w:r>
      <w:r>
        <w:rPr>
          <w:rFonts w:ascii="Arial" w:eastAsia="Arial" w:hAnsi="Arial" w:cs="Arial"/>
          <w:sz w:val="18"/>
          <w:szCs w:val="18"/>
        </w:rPr>
        <w:t>).</w:t>
      </w:r>
    </w:p>
    <w:p w14:paraId="4C8B6B44" w14:textId="77777777" w:rsidR="00BA33EF" w:rsidRDefault="00BA33EF">
      <w:pPr>
        <w:pBdr>
          <w:top w:val="nil"/>
          <w:left w:val="nil"/>
          <w:bottom w:val="nil"/>
          <w:right w:val="nil"/>
          <w:between w:val="nil"/>
        </w:pBdr>
        <w:spacing w:line="360" w:lineRule="auto"/>
        <w:jc w:val="both"/>
        <w:rPr>
          <w:rFonts w:ascii="Arial" w:eastAsia="Arial" w:hAnsi="Arial" w:cs="Arial"/>
          <w:color w:val="000000"/>
          <w:sz w:val="18"/>
          <w:szCs w:val="18"/>
        </w:rPr>
      </w:pPr>
    </w:p>
    <w:p w14:paraId="1B9EDED4" w14:textId="77777777" w:rsidR="00BA33EF" w:rsidRDefault="00B40AA0">
      <w:pPr>
        <w:pBdr>
          <w:top w:val="nil"/>
          <w:left w:val="nil"/>
          <w:bottom w:val="nil"/>
          <w:right w:val="nil"/>
          <w:between w:val="nil"/>
        </w:pBdr>
        <w:spacing w:line="360" w:lineRule="auto"/>
        <w:jc w:val="both"/>
        <w:rPr>
          <w:rFonts w:ascii="Arial" w:eastAsia="Arial" w:hAnsi="Arial" w:cs="Arial"/>
          <w:b/>
          <w:smallCaps/>
          <w:color w:val="000000"/>
          <w:sz w:val="18"/>
          <w:szCs w:val="18"/>
        </w:rPr>
      </w:pPr>
      <w:r>
        <w:rPr>
          <w:rFonts w:ascii="Arial" w:eastAsia="Arial" w:hAnsi="Arial" w:cs="Arial"/>
          <w:b/>
          <w:smallCaps/>
          <w:color w:val="000000"/>
          <w:sz w:val="18"/>
          <w:szCs w:val="18"/>
        </w:rPr>
        <w:t xml:space="preserve">CRITERIOS Y PROCEDIMIENTOS DE EVALUACIÓN Y ACREDITACIÓN </w:t>
      </w:r>
    </w:p>
    <w:p w14:paraId="38D73DAA" w14:textId="77777777" w:rsidR="00BA33EF" w:rsidRDefault="00B40AA0">
      <w:pPr>
        <w:pBdr>
          <w:top w:val="nil"/>
          <w:left w:val="nil"/>
          <w:bottom w:val="nil"/>
          <w:right w:val="nil"/>
          <w:between w:val="nil"/>
        </w:pBdr>
        <w:spacing w:line="360" w:lineRule="auto"/>
        <w:ind w:left="426"/>
        <w:jc w:val="both"/>
        <w:rPr>
          <w:rFonts w:ascii="Arial" w:eastAsia="Arial" w:hAnsi="Arial" w:cs="Arial"/>
          <w:color w:val="000000"/>
          <w:sz w:val="18"/>
          <w:szCs w:val="18"/>
        </w:rPr>
      </w:pPr>
      <w:r>
        <w:rPr>
          <w:rFonts w:ascii="Arial" w:eastAsia="Arial" w:hAnsi="Arial" w:cs="Arial"/>
          <w:color w:val="000000"/>
          <w:sz w:val="18"/>
          <w:szCs w:val="18"/>
        </w:rPr>
        <w:t xml:space="preserve">Para la evaluación se considerarán tres tipos de actividades. Por una parte se aplicarán tres exámenes parciales, que tienen un valor ponderado del 80% sobre la calificación final. Las tareas tendrán valor ponderado del 15% sobre la calificación final y el 5% restante se calificará con participación y exámenes cortos. Para aprobar y acreditar la materia se considera una escala de calificación de 1.0 a 10.0, donde el estudiante deberá obtener una calificación final mínima de 7.0. </w:t>
      </w:r>
    </w:p>
    <w:p w14:paraId="346563A6" w14:textId="77777777" w:rsidR="00BA33EF" w:rsidRDefault="00BA33EF">
      <w:pPr>
        <w:pBdr>
          <w:top w:val="nil"/>
          <w:left w:val="nil"/>
          <w:bottom w:val="nil"/>
          <w:right w:val="nil"/>
          <w:between w:val="nil"/>
        </w:pBdr>
        <w:spacing w:line="360" w:lineRule="auto"/>
        <w:ind w:left="288"/>
        <w:jc w:val="both"/>
        <w:rPr>
          <w:rFonts w:ascii="Arial" w:eastAsia="Arial" w:hAnsi="Arial" w:cs="Arial"/>
          <w:color w:val="000000"/>
          <w:sz w:val="18"/>
          <w:szCs w:val="18"/>
        </w:rPr>
      </w:pPr>
    </w:p>
    <w:p w14:paraId="30AC9652" w14:textId="77777777" w:rsidR="00BA33EF" w:rsidRDefault="00BA33EF">
      <w:pPr>
        <w:pBdr>
          <w:top w:val="nil"/>
          <w:left w:val="nil"/>
          <w:bottom w:val="nil"/>
          <w:right w:val="nil"/>
          <w:between w:val="nil"/>
        </w:pBdr>
        <w:spacing w:line="360" w:lineRule="auto"/>
        <w:jc w:val="both"/>
        <w:rPr>
          <w:rFonts w:ascii="Arial" w:eastAsia="Arial" w:hAnsi="Arial" w:cs="Arial"/>
          <w:b/>
          <w:color w:val="000000"/>
          <w:sz w:val="18"/>
          <w:szCs w:val="18"/>
        </w:rPr>
      </w:pPr>
    </w:p>
    <w:p w14:paraId="680F9869" w14:textId="77777777" w:rsidR="00BA33EF" w:rsidRPr="00B40AA0" w:rsidRDefault="00B40AA0">
      <w:pPr>
        <w:pBdr>
          <w:top w:val="nil"/>
          <w:left w:val="nil"/>
          <w:bottom w:val="nil"/>
          <w:right w:val="nil"/>
          <w:between w:val="nil"/>
        </w:pBdr>
        <w:spacing w:line="360" w:lineRule="auto"/>
        <w:jc w:val="both"/>
        <w:rPr>
          <w:rFonts w:ascii="Arial" w:eastAsia="Arial" w:hAnsi="Arial" w:cs="Arial"/>
          <w:b/>
          <w:smallCaps/>
          <w:color w:val="000000"/>
          <w:sz w:val="18"/>
          <w:szCs w:val="18"/>
          <w:lang w:val="en-US"/>
        </w:rPr>
      </w:pPr>
      <w:bookmarkStart w:id="1" w:name="_heading=h.30j0zll" w:colFirst="0" w:colLast="0"/>
      <w:bookmarkEnd w:id="1"/>
      <w:r w:rsidRPr="00B40AA0">
        <w:rPr>
          <w:rFonts w:ascii="Arial" w:eastAsia="Arial" w:hAnsi="Arial" w:cs="Arial"/>
          <w:b/>
          <w:smallCaps/>
          <w:color w:val="000000"/>
          <w:sz w:val="18"/>
          <w:szCs w:val="18"/>
          <w:lang w:val="en-US"/>
        </w:rPr>
        <w:lastRenderedPageBreak/>
        <w:t xml:space="preserve">LIBROS GUIA: </w:t>
      </w:r>
    </w:p>
    <w:p w14:paraId="3956DF11" w14:textId="77777777" w:rsidR="00BA33EF" w:rsidRPr="00B40AA0" w:rsidRDefault="00B40AA0">
      <w:pPr>
        <w:pBdr>
          <w:top w:val="nil"/>
          <w:left w:val="nil"/>
          <w:bottom w:val="nil"/>
          <w:right w:val="nil"/>
          <w:between w:val="nil"/>
        </w:pBdr>
        <w:spacing w:after="120" w:line="360" w:lineRule="auto"/>
        <w:jc w:val="both"/>
        <w:rPr>
          <w:rFonts w:ascii="Arial" w:eastAsia="Arial" w:hAnsi="Arial" w:cs="Arial"/>
          <w:color w:val="000000"/>
          <w:sz w:val="18"/>
          <w:szCs w:val="18"/>
          <w:lang w:val="en-US"/>
        </w:rPr>
      </w:pPr>
      <w:r w:rsidRPr="00B40AA0">
        <w:rPr>
          <w:rFonts w:ascii="Arial" w:eastAsia="Arial" w:hAnsi="Arial" w:cs="Arial"/>
          <w:color w:val="000000"/>
          <w:sz w:val="18"/>
          <w:szCs w:val="18"/>
          <w:lang w:val="en-US"/>
        </w:rPr>
        <w:t>American Water Works Association (1990) Water Quality &amp; Treatment: A hand book of community water supplies. Mcgraw-Hill, USA.</w:t>
      </w:r>
    </w:p>
    <w:p w14:paraId="54B870BB" w14:textId="77777777" w:rsidR="00BA33EF" w:rsidRDefault="00B40AA0">
      <w:pPr>
        <w:pBdr>
          <w:top w:val="nil"/>
          <w:left w:val="nil"/>
          <w:bottom w:val="nil"/>
          <w:right w:val="nil"/>
          <w:between w:val="nil"/>
        </w:pBdr>
        <w:spacing w:after="120" w:line="360" w:lineRule="auto"/>
        <w:jc w:val="both"/>
        <w:rPr>
          <w:rFonts w:ascii="Arial" w:eastAsia="Arial" w:hAnsi="Arial" w:cs="Arial"/>
          <w:color w:val="000000"/>
          <w:sz w:val="18"/>
          <w:szCs w:val="18"/>
        </w:rPr>
      </w:pPr>
      <w:r w:rsidRPr="00B40AA0">
        <w:rPr>
          <w:rFonts w:ascii="Arial" w:eastAsia="Arial" w:hAnsi="Arial" w:cs="Arial"/>
          <w:color w:val="000000"/>
          <w:sz w:val="18"/>
          <w:szCs w:val="18"/>
          <w:lang w:val="en-US"/>
        </w:rPr>
        <w:t xml:space="preserve">Crittenden, C.J., R.R. Trussell, D.W. Hand, K.J. Howe, G. Tchobanoglous (2012) Water Treatment: Principles and Design, 3rd ed. </w:t>
      </w:r>
      <w:r>
        <w:rPr>
          <w:rFonts w:ascii="Arial" w:eastAsia="Arial" w:hAnsi="Arial" w:cs="Arial"/>
          <w:color w:val="000000"/>
          <w:sz w:val="18"/>
          <w:szCs w:val="18"/>
        </w:rPr>
        <w:t>John Wiley &amp; Sons, UK.</w:t>
      </w:r>
    </w:p>
    <w:p w14:paraId="42C9A2CE" w14:textId="77777777" w:rsidR="00BA33EF" w:rsidRDefault="00B40AA0">
      <w:pPr>
        <w:pBdr>
          <w:top w:val="nil"/>
          <w:left w:val="nil"/>
          <w:bottom w:val="nil"/>
          <w:right w:val="nil"/>
          <w:between w:val="nil"/>
        </w:pBdr>
        <w:spacing w:after="120" w:line="360" w:lineRule="auto"/>
        <w:jc w:val="both"/>
        <w:rPr>
          <w:rFonts w:ascii="Arial" w:eastAsia="Arial" w:hAnsi="Arial" w:cs="Arial"/>
          <w:color w:val="000000"/>
          <w:sz w:val="18"/>
          <w:szCs w:val="18"/>
        </w:rPr>
      </w:pPr>
      <w:r w:rsidRPr="00B40AA0">
        <w:rPr>
          <w:rFonts w:ascii="Arial" w:eastAsia="Arial" w:hAnsi="Arial" w:cs="Arial"/>
          <w:color w:val="000000"/>
          <w:sz w:val="18"/>
          <w:szCs w:val="18"/>
          <w:lang w:val="en-US"/>
        </w:rPr>
        <w:t xml:space="preserve">Inc. Metcalf &amp; Eddy, G. Tchobanoglous, H.D. Stensel, R. Tsuchihashi, F. Burton (2013) Wastewater Engineering: Treatment and Resource Recovery 5th ed. </w:t>
      </w:r>
      <w:r>
        <w:rPr>
          <w:rFonts w:ascii="Arial" w:eastAsia="Arial" w:hAnsi="Arial" w:cs="Arial"/>
          <w:color w:val="000000"/>
          <w:sz w:val="18"/>
          <w:szCs w:val="18"/>
        </w:rPr>
        <w:t>McGraw-Hill, USA.</w:t>
      </w:r>
    </w:p>
    <w:p w14:paraId="4C778FC1" w14:textId="77777777" w:rsidR="00BA33EF" w:rsidRDefault="00B40AA0">
      <w:pPr>
        <w:pBdr>
          <w:top w:val="nil"/>
          <w:left w:val="nil"/>
          <w:bottom w:val="nil"/>
          <w:right w:val="nil"/>
          <w:between w:val="nil"/>
        </w:pBdr>
        <w:spacing w:after="120" w:line="360" w:lineRule="auto"/>
        <w:jc w:val="both"/>
        <w:rPr>
          <w:rFonts w:ascii="Arial" w:eastAsia="Arial" w:hAnsi="Arial" w:cs="Arial"/>
          <w:color w:val="000000"/>
          <w:sz w:val="18"/>
          <w:szCs w:val="18"/>
        </w:rPr>
      </w:pPr>
      <w:r w:rsidRPr="00B40AA0">
        <w:rPr>
          <w:rFonts w:ascii="Arial" w:eastAsia="Arial" w:hAnsi="Arial" w:cs="Arial"/>
          <w:color w:val="000000"/>
          <w:sz w:val="18"/>
          <w:szCs w:val="18"/>
          <w:lang w:val="en-US"/>
        </w:rPr>
        <w:t xml:space="preserve">Viessman W, M.J. Hammer, E.M. Perez, P.A. Chadik (2008) Water Supply and Pollution Control, 8th ed.  </w:t>
      </w:r>
      <w:r>
        <w:rPr>
          <w:rFonts w:ascii="Arial" w:eastAsia="Arial" w:hAnsi="Arial" w:cs="Arial"/>
          <w:color w:val="000000"/>
          <w:sz w:val="18"/>
          <w:szCs w:val="18"/>
        </w:rPr>
        <w:t>Prentice Hall, USA.</w:t>
      </w:r>
    </w:p>
    <w:p w14:paraId="21D2AD91" w14:textId="77777777" w:rsidR="00BA33EF" w:rsidRDefault="00B40AA0">
      <w:pPr>
        <w:jc w:val="both"/>
        <w:rPr>
          <w:rFonts w:ascii="Arial" w:eastAsia="Arial" w:hAnsi="Arial" w:cs="Arial"/>
        </w:rPr>
      </w:pPr>
      <w:r>
        <w:rPr>
          <w:rFonts w:ascii="Arial" w:eastAsia="Arial" w:hAnsi="Arial" w:cs="Arial"/>
        </w:rPr>
        <w:tab/>
      </w:r>
    </w:p>
    <w:p w14:paraId="2A594DF9" w14:textId="77777777" w:rsidR="00BA33EF" w:rsidRDefault="00BA33EF">
      <w:pPr>
        <w:pBdr>
          <w:top w:val="nil"/>
          <w:left w:val="nil"/>
          <w:bottom w:val="nil"/>
          <w:right w:val="nil"/>
          <w:between w:val="nil"/>
        </w:pBdr>
        <w:jc w:val="both"/>
        <w:rPr>
          <w:rFonts w:ascii="Arial" w:eastAsia="Arial" w:hAnsi="Arial" w:cs="Arial"/>
          <w:color w:val="000000"/>
          <w:sz w:val="18"/>
          <w:szCs w:val="18"/>
        </w:rPr>
      </w:pPr>
    </w:p>
    <w:p w14:paraId="3F110912" w14:textId="77777777" w:rsidR="00BA33EF" w:rsidRDefault="00BA33EF">
      <w:pPr>
        <w:pBdr>
          <w:top w:val="nil"/>
          <w:left w:val="nil"/>
          <w:bottom w:val="nil"/>
          <w:right w:val="nil"/>
          <w:between w:val="nil"/>
        </w:pBdr>
        <w:jc w:val="both"/>
        <w:rPr>
          <w:rFonts w:ascii="Arial" w:eastAsia="Arial" w:hAnsi="Arial" w:cs="Arial"/>
          <w:b/>
          <w:color w:val="000000"/>
          <w:sz w:val="18"/>
          <w:szCs w:val="18"/>
        </w:rPr>
      </w:pPr>
    </w:p>
    <w:sectPr w:rsidR="00BA33EF">
      <w:pgSz w:w="12240" w:h="15840"/>
      <w:pgMar w:top="1151" w:right="1701" w:bottom="129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F766D"/>
    <w:multiLevelType w:val="multilevel"/>
    <w:tmpl w:val="0736F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0F5E0D"/>
    <w:multiLevelType w:val="multilevel"/>
    <w:tmpl w:val="D9E6F3C0"/>
    <w:lvl w:ilvl="0">
      <w:start w:val="1"/>
      <w:numFmt w:val="decimal"/>
      <w:lvlText w:val="%1."/>
      <w:lvlJc w:val="left"/>
      <w:pPr>
        <w:ind w:left="1066" w:hanging="360"/>
      </w:p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2" w15:restartNumberingAfterBreak="0">
    <w:nsid w:val="488F4D83"/>
    <w:multiLevelType w:val="multilevel"/>
    <w:tmpl w:val="CCBAA532"/>
    <w:lvl w:ilvl="0">
      <w:start w:val="1"/>
      <w:numFmt w:val="decimal"/>
      <w:lvlText w:val="%1."/>
      <w:lvlJc w:val="left"/>
      <w:pPr>
        <w:ind w:left="1066" w:hanging="360"/>
      </w:p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3" w15:restartNumberingAfterBreak="0">
    <w:nsid w:val="49B60491"/>
    <w:multiLevelType w:val="multilevel"/>
    <w:tmpl w:val="97BA5606"/>
    <w:lvl w:ilvl="0">
      <w:start w:val="1"/>
      <w:numFmt w:val="decimal"/>
      <w:lvlText w:val="%1."/>
      <w:lvlJc w:val="left"/>
      <w:pPr>
        <w:ind w:left="1066" w:hanging="360"/>
      </w:p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4" w15:restartNumberingAfterBreak="0">
    <w:nsid w:val="4E5A07DF"/>
    <w:multiLevelType w:val="multilevel"/>
    <w:tmpl w:val="49B8A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2DD46A2"/>
    <w:multiLevelType w:val="multilevel"/>
    <w:tmpl w:val="E7CAD1E4"/>
    <w:lvl w:ilvl="0">
      <w:start w:val="1"/>
      <w:numFmt w:val="decimal"/>
      <w:lvlText w:val="%1."/>
      <w:lvlJc w:val="left"/>
      <w:pPr>
        <w:ind w:left="1066" w:hanging="360"/>
      </w:p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6" w15:restartNumberingAfterBreak="0">
    <w:nsid w:val="761728C5"/>
    <w:multiLevelType w:val="multilevel"/>
    <w:tmpl w:val="9D60E458"/>
    <w:lvl w:ilvl="0">
      <w:start w:val="1"/>
      <w:numFmt w:val="decimal"/>
      <w:lvlText w:val="%1."/>
      <w:lvlJc w:val="left"/>
      <w:pPr>
        <w:ind w:left="1066" w:hanging="360"/>
      </w:p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abstractNum w:abstractNumId="7" w15:restartNumberingAfterBreak="0">
    <w:nsid w:val="7A6A0FC3"/>
    <w:multiLevelType w:val="multilevel"/>
    <w:tmpl w:val="B5F4F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3EF"/>
    <w:rsid w:val="006C0392"/>
    <w:rsid w:val="00B40AA0"/>
    <w:rsid w:val="00BA33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99D1"/>
  <w15:docId w15:val="{055A9FEE-5112-4F61-9A0F-0E833A62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pBdr>
        <w:bottom w:val="single" w:sz="12" w:space="1" w:color="000000"/>
        <w:between w:val="single" w:sz="12" w:space="1" w:color="000000"/>
      </w:pBdr>
      <w:jc w:val="both"/>
      <w:outlineLvl w:val="0"/>
    </w:pPr>
    <w:rPr>
      <w:rFonts w:ascii="Arial" w:eastAsia="Arial" w:hAnsi="Arial" w:cs="Arial"/>
      <w:b/>
      <w:sz w:val="18"/>
      <w:szCs w:val="18"/>
    </w:rPr>
  </w:style>
  <w:style w:type="paragraph" w:styleId="Ttulo2">
    <w:name w:val="heading 2"/>
    <w:basedOn w:val="Normal"/>
    <w:next w:val="Normal"/>
    <w:uiPriority w:val="9"/>
    <w:semiHidden/>
    <w:unhideWhenUsed/>
    <w:qFormat/>
    <w:pPr>
      <w:pBdr>
        <w:top w:val="single" w:sz="6" w:space="1" w:color="000000"/>
        <w:between w:val="single" w:sz="6" w:space="1" w:color="000000"/>
      </w:pBdr>
      <w:spacing w:after="101"/>
      <w:jc w:val="both"/>
      <w:outlineLvl w:val="1"/>
    </w:pPr>
    <w:rPr>
      <w:rFonts w:ascii="Arial" w:eastAsia="Arial" w:hAnsi="Arial" w:cs="Arial"/>
      <w:sz w:val="18"/>
      <w:szCs w:val="18"/>
    </w:rPr>
  </w:style>
  <w:style w:type="paragraph" w:styleId="Ttulo3">
    <w:name w:val="heading 3"/>
    <w:basedOn w:val="Normal"/>
    <w:next w:val="Normal"/>
    <w:uiPriority w:val="9"/>
    <w:semiHidden/>
    <w:unhideWhenUsed/>
    <w:qFormat/>
    <w:pPr>
      <w:spacing w:after="101"/>
      <w:ind w:firstLine="288"/>
      <w:jc w:val="both"/>
      <w:outlineLvl w:val="2"/>
    </w:pPr>
    <w:rPr>
      <w:rFonts w:ascii="Arial" w:eastAsia="Arial" w:hAnsi="Arial" w:cs="Arial"/>
      <w:sz w:val="18"/>
      <w:szCs w:val="18"/>
    </w:rPr>
  </w:style>
  <w:style w:type="paragraph" w:styleId="Ttulo4">
    <w:name w:val="heading 4"/>
    <w:basedOn w:val="Normal"/>
    <w:next w:val="Normal"/>
    <w:uiPriority w:val="9"/>
    <w:semiHidden/>
    <w:unhideWhenUsed/>
    <w:qFormat/>
    <w:pPr>
      <w:keepNext/>
      <w:jc w:val="center"/>
      <w:outlineLvl w:val="3"/>
    </w:pPr>
    <w:rPr>
      <w:rFonts w:ascii="Times New Roman" w:eastAsia="Times New Roman" w:hAnsi="Times New Roman" w:cs="Times New Roman"/>
      <w:b/>
    </w:rPr>
  </w:style>
  <w:style w:type="paragraph" w:styleId="Ttulo5">
    <w:name w:val="heading 5"/>
    <w:basedOn w:val="Normal"/>
    <w:next w:val="Normal"/>
    <w:uiPriority w:val="9"/>
    <w:semiHidden/>
    <w:unhideWhenUsed/>
    <w:qFormat/>
    <w:pPr>
      <w:keepNext/>
      <w:jc w:val="both"/>
      <w:outlineLvl w:val="4"/>
    </w:pPr>
    <w:rPr>
      <w:rFonts w:ascii="Tahoma" w:eastAsia="Tahoma" w:hAnsi="Tahoma" w:cs="Tahoma"/>
    </w:rPr>
  </w:style>
  <w:style w:type="paragraph" w:styleId="Ttulo6">
    <w:name w:val="heading 6"/>
    <w:basedOn w:val="Normal"/>
    <w:next w:val="Normal"/>
    <w:uiPriority w:val="9"/>
    <w:semiHidden/>
    <w:unhideWhenUsed/>
    <w:qFormat/>
    <w:pPr>
      <w:keepNext/>
      <w:jc w:val="both"/>
      <w:outlineLvl w:val="5"/>
    </w:pPr>
    <w:rPr>
      <w:b/>
      <w:color w:val="000000"/>
      <w:sz w:val="28"/>
      <w:szCs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1" w:type="dxa"/>
        <w:right w:w="71" w:type="dxa"/>
      </w:tblCellMar>
    </w:tblPr>
  </w:style>
  <w:style w:type="table" w:customStyle="1" w:styleId="a0">
    <w:basedOn w:val="TableNormal0"/>
    <w:tblPr>
      <w:tblStyleRowBandSize w:val="1"/>
      <w:tblStyleColBandSize w:val="1"/>
      <w:tblCellMar>
        <w:left w:w="71" w:type="dxa"/>
        <w:right w:w="71" w:type="dxa"/>
      </w:tblCellMar>
    </w:tblPr>
  </w:style>
  <w:style w:type="table" w:customStyle="1" w:styleId="a1">
    <w:basedOn w:val="TableNormal0"/>
    <w:tblPr>
      <w:tblStyleRowBandSize w:val="1"/>
      <w:tblStyleColBandSize w:val="1"/>
      <w:tblCellMar>
        <w:left w:w="71" w:type="dxa"/>
        <w:right w:w="71" w:type="dxa"/>
      </w:tblCellMar>
    </w:tblPr>
  </w:style>
  <w:style w:type="table" w:customStyle="1" w:styleId="a2">
    <w:basedOn w:val="TableNormal0"/>
    <w:tblPr>
      <w:tblStyleRowBandSize w:val="1"/>
      <w:tblStyleColBandSize w:val="1"/>
      <w:tblCellMar>
        <w:left w:w="71" w:type="dxa"/>
        <w:right w:w="7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QfcdUnKGrPdkZfP4nrKbWRsUcA==">AMUW2mUrbUHyIZDgVTotJzY1NwMbNcDtUS2l7Ne3lG4ulp0ITfZYD62uMpkYrx05d1WsHY+aqJeOjMXnjrq4cNM6cdQLlL97LVQtl9ohZ7UJMZ3Up8IjClZq4y6ihzZtzShuymKNixUU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4023</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Chapa Vargas</cp:lastModifiedBy>
  <cp:revision>3</cp:revision>
  <dcterms:created xsi:type="dcterms:W3CDTF">2021-03-21T17:28:00Z</dcterms:created>
  <dcterms:modified xsi:type="dcterms:W3CDTF">2021-05-28T16:21:00Z</dcterms:modified>
</cp:coreProperties>
</file>